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3708"/>
      </w:tblGrid>
      <w:tr w:rsidR="0051699C" w:rsidRPr="0051699C" w:rsidTr="00E166EF">
        <w:trPr>
          <w:cantSplit/>
        </w:trPr>
        <w:tc>
          <w:tcPr>
            <w:tcW w:w="8856" w:type="dxa"/>
            <w:gridSpan w:val="2"/>
            <w:tcBorders>
              <w:top w:val="nil"/>
              <w:left w:val="nil"/>
              <w:bottom w:val="nil"/>
              <w:right w:val="nil"/>
            </w:tcBorders>
          </w:tcPr>
          <w:p w:rsidR="0051699C" w:rsidRPr="0051699C" w:rsidRDefault="0051699C" w:rsidP="0051699C">
            <w:pPr>
              <w:keepNext/>
              <w:spacing w:after="0" w:line="240" w:lineRule="auto"/>
              <w:jc w:val="center"/>
              <w:outlineLvl w:val="0"/>
              <w:rPr>
                <w:rFonts w:ascii="Arial" w:eastAsia="Times New Roman" w:hAnsi="Arial" w:cs="Arial"/>
                <w:b/>
                <w:color w:val="000080"/>
                <w:sz w:val="32"/>
                <w:szCs w:val="32"/>
              </w:rPr>
            </w:pPr>
            <w:r w:rsidRPr="0051699C">
              <w:rPr>
                <w:rFonts w:ascii="Arial" w:eastAsia="Times New Roman" w:hAnsi="Arial" w:cs="Arial"/>
                <w:b/>
                <w:color w:val="000080"/>
                <w:sz w:val="32"/>
                <w:szCs w:val="32"/>
              </w:rPr>
              <w:t>P.I. TerraGreen Glass Cleaner LP Concentrate</w:t>
            </w:r>
          </w:p>
          <w:p w:rsidR="0051699C" w:rsidRPr="0051699C" w:rsidRDefault="0051699C" w:rsidP="0051699C">
            <w:pPr>
              <w:spacing w:after="0" w:line="240" w:lineRule="auto"/>
              <w:jc w:val="center"/>
              <w:rPr>
                <w:rFonts w:ascii="Arial" w:eastAsia="Times New Roman" w:hAnsi="Arial" w:cs="Arial"/>
                <w:b/>
                <w:color w:val="000080"/>
                <w:sz w:val="24"/>
                <w:szCs w:val="20"/>
              </w:rPr>
            </w:pPr>
            <w:r w:rsidRPr="0051699C">
              <w:rPr>
                <w:rFonts w:ascii="Arial" w:eastAsia="Times New Roman" w:hAnsi="Arial" w:cs="Arial"/>
                <w:b/>
                <w:color w:val="000080"/>
                <w:sz w:val="24"/>
                <w:szCs w:val="20"/>
              </w:rPr>
              <w:t>Product Number 201036-55</w:t>
            </w:r>
          </w:p>
          <w:p w:rsidR="0051699C" w:rsidRPr="0051699C" w:rsidRDefault="0051699C" w:rsidP="0051699C">
            <w:pPr>
              <w:spacing w:after="0" w:line="240" w:lineRule="auto"/>
              <w:jc w:val="center"/>
              <w:rPr>
                <w:rFonts w:ascii="Arial" w:eastAsia="Times New Roman" w:hAnsi="Arial" w:cs="Arial"/>
                <w:sz w:val="24"/>
                <w:szCs w:val="20"/>
              </w:rPr>
            </w:pPr>
          </w:p>
        </w:tc>
      </w:tr>
      <w:tr w:rsidR="0051699C" w:rsidRPr="0051699C" w:rsidTr="00E166EF">
        <w:trPr>
          <w:cantSplit/>
        </w:trPr>
        <w:tc>
          <w:tcPr>
            <w:tcW w:w="8856" w:type="dxa"/>
            <w:gridSpan w:val="2"/>
            <w:tcBorders>
              <w:top w:val="nil"/>
              <w:left w:val="nil"/>
              <w:bottom w:val="nil"/>
              <w:right w:val="nil"/>
            </w:tcBorders>
          </w:tcPr>
          <w:p w:rsidR="0051699C" w:rsidRPr="0051699C" w:rsidRDefault="0051699C" w:rsidP="0051699C">
            <w:pPr>
              <w:keepNext/>
              <w:spacing w:before="240" w:after="60" w:line="240" w:lineRule="auto"/>
              <w:jc w:val="center"/>
              <w:outlineLvl w:val="1"/>
              <w:rPr>
                <w:rFonts w:ascii="Arial" w:eastAsia="Times New Roman" w:hAnsi="Arial" w:cs="Arial"/>
                <w:b/>
                <w:bCs/>
                <w:i/>
                <w:iCs/>
                <w:color w:val="FF0000"/>
                <w:sz w:val="28"/>
                <w:szCs w:val="28"/>
              </w:rPr>
            </w:pPr>
            <w:r w:rsidRPr="0051699C">
              <w:rPr>
                <w:rFonts w:ascii="Arial" w:eastAsia="Times New Roman" w:hAnsi="Arial" w:cs="Arial"/>
                <w:b/>
                <w:bCs/>
                <w:i/>
                <w:iCs/>
                <w:color w:val="FF0000"/>
                <w:sz w:val="28"/>
                <w:szCs w:val="28"/>
              </w:rPr>
              <w:t xml:space="preserve"> Specification Enclosed</w:t>
            </w:r>
          </w:p>
        </w:tc>
      </w:tr>
      <w:tr w:rsidR="0051699C" w:rsidRPr="0051699C" w:rsidTr="00E166EF">
        <w:tc>
          <w:tcPr>
            <w:tcW w:w="8856" w:type="dxa"/>
            <w:gridSpan w:val="2"/>
            <w:tcBorders>
              <w:top w:val="nil"/>
              <w:left w:val="nil"/>
              <w:bottom w:val="nil"/>
              <w:right w:val="nil"/>
            </w:tcBorders>
          </w:tcPr>
          <w:p w:rsidR="0051699C" w:rsidRPr="0051699C" w:rsidRDefault="0051699C" w:rsidP="0051699C">
            <w:pPr>
              <w:spacing w:after="0" w:line="240" w:lineRule="auto"/>
              <w:jc w:val="both"/>
              <w:rPr>
                <w:rFonts w:ascii="Arial" w:eastAsia="Times New Roman" w:hAnsi="Arial" w:cs="Arial"/>
                <w:sz w:val="24"/>
                <w:szCs w:val="24"/>
              </w:rPr>
            </w:pPr>
          </w:p>
          <w:p w:rsidR="0051699C" w:rsidRPr="0051699C" w:rsidRDefault="0051699C" w:rsidP="0051699C">
            <w:pPr>
              <w:spacing w:after="0" w:line="240" w:lineRule="auto"/>
              <w:jc w:val="both"/>
              <w:rPr>
                <w:rFonts w:ascii="Arial" w:eastAsia="Times New Roman" w:hAnsi="Arial" w:cs="Times New Roman"/>
                <w:sz w:val="24"/>
                <w:szCs w:val="24"/>
              </w:rPr>
            </w:pPr>
            <w:r w:rsidRPr="0051699C">
              <w:rPr>
                <w:rFonts w:ascii="Arial" w:eastAsia="Times New Roman" w:hAnsi="Arial" w:cs="Times New Roman"/>
                <w:b/>
                <w:sz w:val="24"/>
                <w:szCs w:val="24"/>
              </w:rPr>
              <w:t xml:space="preserve">Description of Finished Product - </w:t>
            </w:r>
            <w:r w:rsidRPr="0051699C">
              <w:rPr>
                <w:rFonts w:ascii="Arial" w:eastAsia="Times New Roman" w:hAnsi="Arial" w:cs="Times New Roman"/>
                <w:sz w:val="24"/>
                <w:szCs w:val="24"/>
              </w:rPr>
              <w:t>A concentrated liquid, environmentally responsible, glass and multi-surface cleaner, that is non-streaking.  It shall not contain any alcohol or ammonia.  Product must qualify to carry Green Seal Approval.(2008 Revision)</w:t>
            </w:r>
          </w:p>
          <w:p w:rsidR="0051699C" w:rsidRPr="0051699C" w:rsidRDefault="0051699C" w:rsidP="0051699C">
            <w:pPr>
              <w:spacing w:after="0" w:line="240" w:lineRule="auto"/>
              <w:jc w:val="both"/>
              <w:rPr>
                <w:rFonts w:ascii="Arial" w:eastAsia="Times New Roman" w:hAnsi="Arial" w:cs="Arial"/>
                <w:sz w:val="24"/>
                <w:szCs w:val="24"/>
              </w:rPr>
            </w:pPr>
          </w:p>
        </w:tc>
      </w:tr>
      <w:tr w:rsidR="0051699C" w:rsidRPr="0051699C" w:rsidTr="00E166EF">
        <w:tc>
          <w:tcPr>
            <w:tcW w:w="8856" w:type="dxa"/>
            <w:gridSpan w:val="2"/>
            <w:tcBorders>
              <w:top w:val="nil"/>
              <w:left w:val="nil"/>
              <w:bottom w:val="nil"/>
              <w:right w:val="nil"/>
            </w:tcBorders>
          </w:tcPr>
          <w:p w:rsidR="0051699C" w:rsidRPr="0051699C" w:rsidRDefault="0051699C" w:rsidP="0051699C">
            <w:pPr>
              <w:spacing w:after="0" w:line="240" w:lineRule="auto"/>
              <w:jc w:val="both"/>
              <w:rPr>
                <w:rFonts w:ascii="Arial" w:eastAsia="Times New Roman" w:hAnsi="Arial" w:cs="Times New Roman"/>
                <w:sz w:val="24"/>
                <w:szCs w:val="24"/>
              </w:rPr>
            </w:pPr>
            <w:r w:rsidRPr="0051699C">
              <w:rPr>
                <w:rFonts w:ascii="Arial" w:eastAsia="Times New Roman" w:hAnsi="Arial" w:cs="Times New Roman"/>
                <w:b/>
                <w:sz w:val="24"/>
                <w:szCs w:val="24"/>
              </w:rPr>
              <w:t xml:space="preserve">Blending </w:t>
            </w:r>
            <w:r w:rsidRPr="0051699C">
              <w:rPr>
                <w:rFonts w:ascii="Arial" w:eastAsia="Times New Roman" w:hAnsi="Arial" w:cs="Times New Roman"/>
                <w:sz w:val="24"/>
                <w:szCs w:val="24"/>
              </w:rPr>
              <w:t>–</w:t>
            </w:r>
            <w:r w:rsidRPr="0051699C">
              <w:rPr>
                <w:rFonts w:ascii="Arial" w:eastAsia="Times New Roman" w:hAnsi="Arial" w:cs="Times New Roman"/>
                <w:sz w:val="20"/>
                <w:szCs w:val="20"/>
              </w:rPr>
              <w:t xml:space="preserve"> </w:t>
            </w:r>
            <w:r w:rsidRPr="0051699C">
              <w:rPr>
                <w:rFonts w:ascii="Arial" w:eastAsia="Times New Roman" w:hAnsi="Arial" w:cs="Times New Roman"/>
                <w:sz w:val="24"/>
                <w:szCs w:val="24"/>
              </w:rPr>
              <w:t xml:space="preserve">Blend 1 part of concentrate with 3 parts of softened water.  Mix until uniform.   Or.  For 100 gallons – Blend 209 </w:t>
            </w:r>
            <w:proofErr w:type="spellStart"/>
            <w:r w:rsidRPr="0051699C">
              <w:rPr>
                <w:rFonts w:ascii="Arial" w:eastAsia="Times New Roman" w:hAnsi="Arial" w:cs="Times New Roman"/>
                <w:sz w:val="24"/>
                <w:szCs w:val="24"/>
              </w:rPr>
              <w:t>lbs</w:t>
            </w:r>
            <w:proofErr w:type="spellEnd"/>
            <w:r w:rsidRPr="0051699C">
              <w:rPr>
                <w:rFonts w:ascii="Arial" w:eastAsia="Times New Roman" w:hAnsi="Arial" w:cs="Times New Roman"/>
                <w:sz w:val="24"/>
                <w:szCs w:val="24"/>
              </w:rPr>
              <w:t xml:space="preserve"> of concentrate to 626 </w:t>
            </w:r>
            <w:proofErr w:type="spellStart"/>
            <w:r w:rsidRPr="0051699C">
              <w:rPr>
                <w:rFonts w:ascii="Arial" w:eastAsia="Times New Roman" w:hAnsi="Arial" w:cs="Times New Roman"/>
                <w:sz w:val="24"/>
                <w:szCs w:val="24"/>
              </w:rPr>
              <w:t>lbs</w:t>
            </w:r>
            <w:proofErr w:type="spellEnd"/>
            <w:r w:rsidRPr="0051699C">
              <w:rPr>
                <w:rFonts w:ascii="Arial" w:eastAsia="Times New Roman" w:hAnsi="Arial" w:cs="Times New Roman"/>
                <w:sz w:val="24"/>
                <w:szCs w:val="24"/>
              </w:rPr>
              <w:t xml:space="preserve"> of softened water.  Provides a finished product that is diluted by end user at the rate of 1 – 32.</w:t>
            </w:r>
          </w:p>
          <w:p w:rsidR="0051699C" w:rsidRPr="0051699C" w:rsidRDefault="0051699C" w:rsidP="0051699C">
            <w:pPr>
              <w:spacing w:after="0" w:line="240" w:lineRule="auto"/>
              <w:jc w:val="both"/>
              <w:rPr>
                <w:rFonts w:ascii="Arial" w:eastAsia="Times New Roman" w:hAnsi="Arial" w:cs="Times New Roman"/>
                <w:b/>
                <w:sz w:val="24"/>
                <w:szCs w:val="24"/>
              </w:rPr>
            </w:pPr>
            <w:r w:rsidRPr="0051699C">
              <w:rPr>
                <w:rFonts w:ascii="Arial" w:eastAsia="Times New Roman" w:hAnsi="Arial" w:cs="Times New Roman"/>
                <w:sz w:val="24"/>
                <w:szCs w:val="24"/>
              </w:rPr>
              <w:t>For RTU product – blend 8.86 lb. (1.1 gal) of P.I. TG Glass Cleaner LP Conc. And 824.1 lb. (99.1 gal) of water to make 100 gallons of finished product.</w:t>
            </w:r>
          </w:p>
          <w:p w:rsidR="0051699C" w:rsidRPr="0051699C" w:rsidRDefault="0051699C" w:rsidP="0051699C">
            <w:pPr>
              <w:spacing w:after="0" w:line="240" w:lineRule="auto"/>
              <w:jc w:val="both"/>
              <w:rPr>
                <w:rFonts w:ascii="Arial" w:eastAsia="Times New Roman" w:hAnsi="Arial" w:cs="Arial"/>
                <w:sz w:val="24"/>
                <w:szCs w:val="24"/>
              </w:rPr>
            </w:pP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End-User Dilution Rate of Finished Product</w:t>
            </w: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1-32, 1-50</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r>
      <w:tr w:rsidR="0051699C" w:rsidRPr="0051699C" w:rsidTr="00E166EF">
        <w:tc>
          <w:tcPr>
            <w:tcW w:w="5148" w:type="dxa"/>
            <w:tcBorders>
              <w:top w:val="nil"/>
              <w:left w:val="nil"/>
              <w:bottom w:val="nil"/>
              <w:right w:val="nil"/>
            </w:tcBorders>
          </w:tcPr>
          <w:p w:rsid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EPA Registration required</w:t>
            </w:r>
          </w:p>
          <w:p w:rsidR="00290B3E" w:rsidRDefault="00290B3E" w:rsidP="0051699C">
            <w:pPr>
              <w:spacing w:after="0" w:line="240" w:lineRule="auto"/>
              <w:rPr>
                <w:rFonts w:ascii="Arial" w:eastAsia="Times New Roman" w:hAnsi="Arial" w:cs="Arial"/>
                <w:sz w:val="24"/>
                <w:szCs w:val="24"/>
              </w:rPr>
            </w:pPr>
          </w:p>
          <w:p w:rsidR="00290B3E" w:rsidRPr="0051699C" w:rsidRDefault="00290B3E"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No</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Brulin Brand Name of Finished Product</w:t>
            </w:r>
          </w:p>
        </w:tc>
        <w:tc>
          <w:tcPr>
            <w:tcW w:w="3708" w:type="dxa"/>
            <w:tcBorders>
              <w:top w:val="nil"/>
              <w:left w:val="nil"/>
              <w:bottom w:val="nil"/>
              <w:right w:val="nil"/>
            </w:tcBorders>
          </w:tcPr>
          <w:p w:rsidR="0051699C" w:rsidRPr="0051699C" w:rsidRDefault="0051699C" w:rsidP="0051699C">
            <w:pPr>
              <w:keepNext/>
              <w:spacing w:before="240" w:after="60" w:line="240" w:lineRule="auto"/>
              <w:outlineLvl w:val="2"/>
              <w:rPr>
                <w:rFonts w:ascii="Arial" w:eastAsia="Times New Roman" w:hAnsi="Arial" w:cs="Arial"/>
                <w:b/>
                <w:bCs/>
                <w:sz w:val="24"/>
                <w:szCs w:val="24"/>
              </w:rPr>
            </w:pPr>
            <w:r w:rsidRPr="0051699C">
              <w:rPr>
                <w:rFonts w:ascii="Arial" w:eastAsia="Times New Roman" w:hAnsi="Arial" w:cs="Arial"/>
                <w:b/>
                <w:bCs/>
                <w:sz w:val="24"/>
                <w:szCs w:val="24"/>
              </w:rPr>
              <w:t>TerraGreen Blue Glass Cleaner</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Normal Use: 1-32</w:t>
            </w: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Times New Roman"/>
                <w:sz w:val="24"/>
                <w:szCs w:val="24"/>
              </w:rPr>
              <w:t>Light Duty: 1-50</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Packaging for Finished Product</w:t>
            </w: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4 gallons/case for conc.</w:t>
            </w: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 xml:space="preserve">12 </w:t>
            </w:r>
            <w:proofErr w:type="spellStart"/>
            <w:r w:rsidRPr="0051699C">
              <w:rPr>
                <w:rFonts w:ascii="Arial" w:eastAsia="Times New Roman" w:hAnsi="Arial" w:cs="Arial"/>
                <w:sz w:val="24"/>
                <w:szCs w:val="24"/>
              </w:rPr>
              <w:t>Qts</w:t>
            </w:r>
            <w:proofErr w:type="spellEnd"/>
            <w:r w:rsidRPr="0051699C">
              <w:rPr>
                <w:rFonts w:ascii="Arial" w:eastAsia="Times New Roman" w:hAnsi="Arial" w:cs="Arial"/>
                <w:sz w:val="24"/>
                <w:szCs w:val="24"/>
              </w:rPr>
              <w:t>/case RTU</w:t>
            </w: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4 half Gal. w/</w:t>
            </w:r>
            <w:proofErr w:type="spellStart"/>
            <w:r w:rsidRPr="0051699C">
              <w:rPr>
                <w:rFonts w:ascii="Arial" w:eastAsia="Times New Roman" w:hAnsi="Arial" w:cs="Arial"/>
                <w:sz w:val="24"/>
                <w:szCs w:val="24"/>
              </w:rPr>
              <w:t>btl</w:t>
            </w:r>
            <w:proofErr w:type="spellEnd"/>
            <w:r w:rsidRPr="0051699C">
              <w:rPr>
                <w:rFonts w:ascii="Arial" w:eastAsia="Times New Roman" w:hAnsi="Arial" w:cs="Arial"/>
                <w:sz w:val="24"/>
                <w:szCs w:val="24"/>
              </w:rPr>
              <w:t xml:space="preserve"> insert for Disp.</w:t>
            </w:r>
          </w:p>
        </w:tc>
      </w:tr>
    </w:tbl>
    <w:p w:rsidR="00171368" w:rsidRDefault="00171368" w:rsidP="0051699C"/>
    <w:p w:rsidR="0051699C" w:rsidRDefault="0051699C" w:rsidP="0051699C"/>
    <w:p w:rsidR="0051699C" w:rsidRDefault="0051699C" w:rsidP="0051699C"/>
    <w:p w:rsidR="0051699C" w:rsidRDefault="0051699C" w:rsidP="0051699C"/>
    <w:p w:rsidR="00436ECF" w:rsidRDefault="00436ECF" w:rsidP="0051699C">
      <w:pPr>
        <w:spacing w:after="0" w:line="240" w:lineRule="auto"/>
        <w:jc w:val="center"/>
        <w:rPr>
          <w:rFonts w:ascii="Arial" w:eastAsia="Times New Roman" w:hAnsi="Arial" w:cs="Times New Roman"/>
          <w:b/>
          <w:color w:val="000080"/>
          <w:sz w:val="28"/>
          <w:szCs w:val="28"/>
        </w:rPr>
      </w:pP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Specifications</w:t>
      </w:r>
    </w:p>
    <w:p w:rsidR="0051699C" w:rsidRPr="0051699C" w:rsidRDefault="0051699C" w:rsidP="0051699C">
      <w:pPr>
        <w:spacing w:after="0" w:line="240" w:lineRule="auto"/>
        <w:jc w:val="center"/>
        <w:rPr>
          <w:rFonts w:ascii="Arial" w:eastAsia="Times New Roman" w:hAnsi="Arial" w:cs="Times New Roman"/>
          <w:b/>
          <w:color w:val="000080"/>
          <w:sz w:val="28"/>
          <w:szCs w:val="28"/>
        </w:rPr>
      </w:pP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P.I. TerraGreen Glass Cleaner LP Concentrate</w:t>
      </w:r>
    </w:p>
    <w:p w:rsidR="0051699C" w:rsidRPr="0051699C" w:rsidRDefault="0051699C" w:rsidP="0051699C">
      <w:pPr>
        <w:tabs>
          <w:tab w:val="left" w:pos="5580"/>
        </w:tabs>
        <w:spacing w:after="0" w:line="240" w:lineRule="auto"/>
        <w:jc w:val="center"/>
        <w:rPr>
          <w:rFonts w:ascii="Arial" w:eastAsia="Times New Roman" w:hAnsi="Arial" w:cs="Times New Roman"/>
          <w:b/>
          <w:i/>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r w:rsidRPr="0051699C">
        <w:rPr>
          <w:rFonts w:ascii="Arial" w:eastAsia="Times New Roman" w:hAnsi="Arial" w:cs="Times New Roman"/>
          <w:b/>
          <w:sz w:val="24"/>
          <w:szCs w:val="24"/>
        </w:rPr>
        <w:t xml:space="preserve">Typical Physical and Chemical Specifications for the </w:t>
      </w:r>
      <w:r w:rsidR="00736A58">
        <w:rPr>
          <w:rFonts w:ascii="Arial" w:eastAsia="Times New Roman" w:hAnsi="Arial" w:cs="Times New Roman"/>
          <w:b/>
          <w:sz w:val="24"/>
          <w:szCs w:val="24"/>
        </w:rPr>
        <w:t>Production Intermediate</w:t>
      </w:r>
      <w:r w:rsidRPr="0051699C">
        <w:rPr>
          <w:rFonts w:ascii="Arial" w:eastAsia="Times New Roman" w:hAnsi="Arial" w:cs="Times New Roman"/>
          <w:b/>
          <w:sz w:val="24"/>
          <w:szCs w:val="24"/>
        </w:rPr>
        <w:t>:</w:t>
      </w: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Chemical Composition:</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Blend of surfactants, solvents, water</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Physical Form:</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Liquid</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Biodegradable</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Yes</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 xml:space="preserve">Phosphate Free </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Yes</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Flash Point</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146</w:t>
      </w:r>
      <w:r w:rsidRPr="0051699C">
        <w:rPr>
          <w:rFonts w:ascii="Arial" w:eastAsia="Times New Roman" w:hAnsi="Arial" w:cs="Arial"/>
          <w:sz w:val="24"/>
          <w:szCs w:val="24"/>
        </w:rPr>
        <w:t>º</w:t>
      </w:r>
      <w:r w:rsidRPr="0051699C">
        <w:rPr>
          <w:rFonts w:ascii="Arial" w:eastAsia="Times New Roman" w:hAnsi="Arial" w:cs="Times New Roman"/>
          <w:sz w:val="24"/>
          <w:szCs w:val="24"/>
        </w:rPr>
        <w:t>F (PMCC) Minimum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Typical pH</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7 - 9 Maximum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 xml:space="preserve">           Normal Total Actives                                 62.8%</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b/>
          <w:sz w:val="24"/>
          <w:szCs w:val="24"/>
        </w:rPr>
        <w:t xml:space="preserve">Special Requirements or Approvals:  </w:t>
      </w:r>
      <w:r w:rsidRPr="0051699C">
        <w:rPr>
          <w:rFonts w:ascii="Arial" w:eastAsia="Times New Roman" w:hAnsi="Arial" w:cs="Times New Roman"/>
          <w:sz w:val="24"/>
          <w:szCs w:val="24"/>
        </w:rPr>
        <w:t xml:space="preserve">This product shall contain no NPE, ammonia, alcohol. </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HMIS Hazard Rating shall not exceed:</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t>Health</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1</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t>Flammability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2</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t>Reactivity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0</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Arial"/>
          <w:sz w:val="20"/>
          <w:szCs w:val="20"/>
        </w:rPr>
      </w:pPr>
    </w:p>
    <w:p w:rsidR="0051699C" w:rsidRPr="0051699C" w:rsidRDefault="0051699C" w:rsidP="0051699C">
      <w:pPr>
        <w:spacing w:after="0" w:line="240" w:lineRule="auto"/>
        <w:ind w:firstLine="720"/>
        <w:rPr>
          <w:rFonts w:ascii="Arial" w:eastAsia="Times New Roman" w:hAnsi="Arial" w:cs="Times New Roman"/>
          <w:sz w:val="24"/>
          <w:szCs w:val="24"/>
        </w:rPr>
      </w:pPr>
      <w:r w:rsidRPr="0051699C">
        <w:rPr>
          <w:rFonts w:ascii="Arial" w:eastAsia="Times New Roman" w:hAnsi="Arial" w:cs="Arial"/>
          <w:sz w:val="20"/>
          <w:szCs w:val="20"/>
        </w:rPr>
        <w:br w:type="page"/>
      </w:r>
      <w:r w:rsidRPr="0051699C">
        <w:rPr>
          <w:rFonts w:ascii="Arial" w:eastAsia="Times New Roman" w:hAnsi="Arial" w:cs="Times New Roman"/>
          <w:sz w:val="24"/>
          <w:szCs w:val="24"/>
        </w:rPr>
        <w:t xml:space="preserve"> </w:t>
      </w: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Specifications for the Finished Product</w:t>
      </w: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(P.I. TerraGreen Blue Glass Cleaner 1-32 Concentrate)</w:t>
      </w:r>
    </w:p>
    <w:p w:rsidR="0051699C" w:rsidRPr="0051699C" w:rsidRDefault="0051699C" w:rsidP="0051699C">
      <w:pPr>
        <w:spacing w:after="0" w:line="240" w:lineRule="auto"/>
        <w:jc w:val="center"/>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r w:rsidRPr="0051699C">
        <w:rPr>
          <w:rFonts w:ascii="Arial" w:eastAsia="Times New Roman" w:hAnsi="Arial" w:cs="Times New Roman"/>
          <w:b/>
          <w:sz w:val="24"/>
          <w:szCs w:val="24"/>
        </w:rPr>
        <w:t xml:space="preserve">  Typical Physical and Chemical Characteristics:</w:t>
      </w: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ind w:left="180"/>
        <w:rPr>
          <w:rFonts w:ascii="Arial" w:eastAsia="Times New Roman" w:hAnsi="Arial" w:cs="Times New Roman"/>
          <w:sz w:val="24"/>
          <w:szCs w:val="24"/>
        </w:rPr>
      </w:pPr>
      <w:r w:rsidRPr="0051699C">
        <w:rPr>
          <w:rFonts w:ascii="Arial" w:eastAsia="Times New Roman" w:hAnsi="Arial" w:cs="Times New Roman"/>
          <w:sz w:val="24"/>
          <w:szCs w:val="24"/>
        </w:rPr>
        <w:t xml:space="preserve">  Physical Form</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Liquid</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 xml:space="preserve">Free of </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Phosphates, caustics, ammonia,</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Alcohol, NPE</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Flash Point</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None to boiling</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pH of Concentrate</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8.7 maximum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pH of Working Solution</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9 maximum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Normal Actives</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15.7% minimum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b/>
          <w:sz w:val="24"/>
          <w:szCs w:val="24"/>
        </w:rPr>
        <w:t xml:space="preserve">           </w:t>
      </w:r>
      <w:r w:rsidRPr="0051699C">
        <w:rPr>
          <w:rFonts w:ascii="Arial" w:eastAsia="Times New Roman" w:hAnsi="Arial" w:cs="Times New Roman"/>
          <w:sz w:val="24"/>
          <w:szCs w:val="24"/>
        </w:rPr>
        <w:t>HMIS Hazard Rating shall not exceed:</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Health</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 xml:space="preserve">1             </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Flammability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 xml:space="preserve">0  </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Reactivity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0</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b/>
          <w:sz w:val="20"/>
          <w:szCs w:val="20"/>
        </w:rPr>
      </w:pPr>
    </w:p>
    <w:p w:rsidR="0051699C" w:rsidRPr="0051699C" w:rsidRDefault="0051699C" w:rsidP="0051699C">
      <w:pPr>
        <w:spacing w:after="0" w:line="240" w:lineRule="auto"/>
        <w:jc w:val="both"/>
        <w:rPr>
          <w:rFonts w:ascii="Arial" w:eastAsia="Times New Roman" w:hAnsi="Arial" w:cs="Times New Roman"/>
          <w:sz w:val="24"/>
          <w:szCs w:val="24"/>
        </w:rPr>
      </w:pPr>
      <w:r w:rsidRPr="0051699C">
        <w:rPr>
          <w:rFonts w:ascii="Arial" w:eastAsia="Times New Roman" w:hAnsi="Arial" w:cs="Times New Roman"/>
          <w:b/>
          <w:sz w:val="24"/>
          <w:szCs w:val="24"/>
        </w:rPr>
        <w:t>Special Requirements or Approvals:</w:t>
      </w:r>
      <w:r w:rsidRPr="0051699C">
        <w:rPr>
          <w:rFonts w:ascii="Arial" w:eastAsia="Times New Roman" w:hAnsi="Arial" w:cs="Times New Roman"/>
          <w:sz w:val="24"/>
          <w:szCs w:val="24"/>
        </w:rPr>
        <w:t xml:space="preserve"> Product must meet all the guidelines of GS-37 including those for human toxicity, aquatic toxicity, and aquatic biodegradability.   Bidder must certify that the finished product manufactured from the concentrate will meet all of these requirements and that this finished product can currently qualify to carry Green Seal Approval.</w:t>
      </w:r>
    </w:p>
    <w:p w:rsidR="0051699C" w:rsidRPr="0051699C" w:rsidRDefault="0051699C" w:rsidP="0051699C">
      <w:pPr>
        <w:spacing w:after="0" w:line="240" w:lineRule="auto"/>
        <w:rPr>
          <w:rFonts w:ascii="Arial" w:eastAsia="Times New Roman" w:hAnsi="Arial" w:cs="Arial"/>
          <w:sz w:val="20"/>
          <w:szCs w:val="20"/>
        </w:rPr>
      </w:pPr>
    </w:p>
    <w:p w:rsidR="0051699C" w:rsidRPr="0051699C" w:rsidRDefault="0051699C" w:rsidP="0051699C">
      <w:pPr>
        <w:spacing w:after="0" w:line="240" w:lineRule="auto"/>
        <w:rPr>
          <w:rFonts w:ascii="Arial" w:eastAsia="Times New Roman" w:hAnsi="Arial" w:cs="Arial"/>
          <w:sz w:val="24"/>
          <w:szCs w:val="20"/>
        </w:rPr>
      </w:pPr>
    </w:p>
    <w:p w:rsidR="0051699C" w:rsidRPr="0051699C" w:rsidRDefault="0051699C" w:rsidP="0051699C"/>
    <w:sectPr w:rsidR="0051699C" w:rsidRPr="0051699C" w:rsidSect="00A1323C">
      <w:headerReference w:type="default" r:id="rId8"/>
      <w:footerReference w:type="default" r:id="rId9"/>
      <w:pgSz w:w="12240" w:h="15840"/>
      <w:pgMar w:top="2790" w:right="1440" w:bottom="1627" w:left="1440" w:header="720" w:footer="6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D4E8D" w:rsidRDefault="005D4E8D" w:rsidP="0003238C">
      <w:pPr>
        <w:spacing w:after="0" w:line="240" w:lineRule="auto"/>
      </w:pPr>
      <w:r>
        <w:separator/>
      </w:r>
    </w:p>
  </w:endnote>
  <w:endnote w:type="continuationSeparator" w:id="0">
    <w:p w:rsidR="005D4E8D" w:rsidRDefault="005D4E8D" w:rsidP="00032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HelveticaNeue-Medium">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238C" w:rsidRPr="008F75E2" w:rsidRDefault="00034278" w:rsidP="004A0394">
    <w:pPr>
      <w:pStyle w:val="Footer"/>
      <w:tabs>
        <w:tab w:val="left" w:pos="9360"/>
      </w:tabs>
      <w:jc w:val="right"/>
      <w:rPr>
        <w:rFonts w:ascii="Arial" w:hAnsi="Arial" w:cs="Arial"/>
        <w:sz w:val="20"/>
        <w:szCs w:val="20"/>
      </w:rPr>
    </w:pPr>
    <w:r w:rsidRPr="008F75E2">
      <w:rPr>
        <w:rFonts w:ascii="Arial" w:hAnsi="Arial" w:cs="Arial"/>
        <w:sz w:val="20"/>
        <w:szCs w:val="20"/>
      </w:rPr>
      <w:t>phone: 317.923.3211 • fax: 317.925.4596 • ISO 9001:2008 CERTIFIED</w:t>
    </w:r>
    <w:r w:rsidR="00471E06">
      <w:rPr>
        <w:rFonts w:ascii="Arial" w:hAnsi="Arial" w:cs="Arial"/>
        <w:sz w:val="20"/>
        <w:szCs w:val="20"/>
      </w:rPr>
      <w:t xml:space="preserve"> • </w:t>
    </w:r>
    <w:hyperlink r:id="rId1" w:history="1">
      <w:r w:rsidR="004A0394" w:rsidRPr="008F75E2">
        <w:rPr>
          <w:rStyle w:val="Hyperlink"/>
          <w:rFonts w:ascii="Arial" w:hAnsi="Arial" w:cs="Arial"/>
          <w:sz w:val="20"/>
          <w:szCs w:val="20"/>
        </w:rPr>
        <w:t>bhcinc.com</w:t>
      </w:r>
    </w:hyperlink>
  </w:p>
  <w:p w:rsidR="00AF25EF" w:rsidRDefault="00AF25EF" w:rsidP="004A0394">
    <w:pPr>
      <w:pStyle w:val="Footer"/>
      <w:tabs>
        <w:tab w:val="left" w:pos="9360"/>
      </w:tabs>
      <w:jc w:val="right"/>
      <w:rPr>
        <w:sz w:val="4"/>
        <w:szCs w:val="4"/>
      </w:rPr>
    </w:pPr>
  </w:p>
  <w:p w:rsidR="00A1323C" w:rsidRPr="00A1323C" w:rsidRDefault="00A1323C" w:rsidP="004A0394">
    <w:pPr>
      <w:pStyle w:val="Footer"/>
      <w:tabs>
        <w:tab w:val="left" w:pos="9360"/>
      </w:tabs>
      <w:jc w:val="right"/>
      <w:rPr>
        <w:sz w:val="8"/>
        <w:szCs w:val="8"/>
      </w:rPr>
    </w:pPr>
  </w:p>
  <w:p w:rsidR="00AF25EF" w:rsidRPr="004A0394" w:rsidRDefault="00AF25EF" w:rsidP="004A0394">
    <w:pPr>
      <w:pStyle w:val="Footer"/>
      <w:tabs>
        <w:tab w:val="left" w:pos="9360"/>
      </w:tabs>
      <w:jc w:val="right"/>
      <w:rPr>
        <w:rFonts w:ascii="Arial" w:hAnsi="Arial" w:cs="Arial"/>
        <w:sz w:val="18"/>
        <w:szCs w:val="18"/>
      </w:rPr>
    </w:pPr>
    <w:r>
      <w:rPr>
        <w:rFonts w:ascii="Arial" w:hAnsi="Arial" w:cs="Arial"/>
        <w:sz w:val="18"/>
        <w:szCs w:val="18"/>
      </w:rPr>
      <w:t xml:space="preserve"> </w:t>
    </w:r>
    <w:r w:rsidR="008F75E2">
      <w:rPr>
        <w:rFonts w:ascii="Arial" w:hAnsi="Arial" w:cs="Arial"/>
        <w:sz w:val="18"/>
        <w:szCs w:val="18"/>
      </w:rPr>
      <w:t xml:space="preserve">   </w:t>
    </w:r>
    <w:r>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D4E8D" w:rsidRDefault="005D4E8D" w:rsidP="0003238C">
      <w:pPr>
        <w:spacing w:after="0" w:line="240" w:lineRule="auto"/>
      </w:pPr>
      <w:r>
        <w:separator/>
      </w:r>
    </w:p>
  </w:footnote>
  <w:footnote w:type="continuationSeparator" w:id="0">
    <w:p w:rsidR="005D4E8D" w:rsidRDefault="005D4E8D" w:rsidP="000323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238C" w:rsidRPr="00D91B37" w:rsidRDefault="008F75E2" w:rsidP="00471E06">
    <w:pPr>
      <w:pStyle w:val="Header"/>
    </w:pPr>
    <w:r>
      <w:rPr>
        <w:noProof/>
      </w:rPr>
      <w:drawing>
        <wp:anchor distT="0" distB="0" distL="114300" distR="114300" simplePos="0" relativeHeight="251662336" behindDoc="1" locked="0" layoutInCell="1" allowOverlap="1" wp14:anchorId="4566FD44" wp14:editId="1B0EEF59">
          <wp:simplePos x="0" y="0"/>
          <wp:positionH relativeFrom="column">
            <wp:posOffset>23751</wp:posOffset>
          </wp:positionH>
          <wp:positionV relativeFrom="paragraph">
            <wp:posOffset>65314</wp:posOffset>
          </wp:positionV>
          <wp:extent cx="822960" cy="8229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229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335E"/>
    <w:multiLevelType w:val="hybridMultilevel"/>
    <w:tmpl w:val="A572B8FE"/>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F2B68"/>
    <w:multiLevelType w:val="hybridMultilevel"/>
    <w:tmpl w:val="E964637E"/>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3A34FD"/>
    <w:multiLevelType w:val="hybridMultilevel"/>
    <w:tmpl w:val="290E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F455C"/>
    <w:multiLevelType w:val="hybridMultilevel"/>
    <w:tmpl w:val="17E2BB60"/>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0D0041"/>
    <w:multiLevelType w:val="hybridMultilevel"/>
    <w:tmpl w:val="FC804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2E500C"/>
    <w:multiLevelType w:val="hybridMultilevel"/>
    <w:tmpl w:val="4DFAF7A4"/>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E52220"/>
    <w:multiLevelType w:val="hybridMultilevel"/>
    <w:tmpl w:val="AB4AC920"/>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140FA1"/>
    <w:multiLevelType w:val="hybridMultilevel"/>
    <w:tmpl w:val="63400F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2632305">
    <w:abstractNumId w:val="7"/>
  </w:num>
  <w:num w:numId="2" w16cid:durableId="262765831">
    <w:abstractNumId w:val="6"/>
  </w:num>
  <w:num w:numId="3" w16cid:durableId="1524975119">
    <w:abstractNumId w:val="3"/>
  </w:num>
  <w:num w:numId="4" w16cid:durableId="24797146">
    <w:abstractNumId w:val="1"/>
  </w:num>
  <w:num w:numId="5" w16cid:durableId="488404387">
    <w:abstractNumId w:val="0"/>
  </w:num>
  <w:num w:numId="6" w16cid:durableId="1055466518">
    <w:abstractNumId w:val="5"/>
  </w:num>
  <w:num w:numId="7" w16cid:durableId="1116756139">
    <w:abstractNumId w:val="2"/>
  </w:num>
  <w:num w:numId="8" w16cid:durableId="21431107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38C"/>
    <w:rsid w:val="0000116E"/>
    <w:rsid w:val="000132F1"/>
    <w:rsid w:val="00023F81"/>
    <w:rsid w:val="0003238C"/>
    <w:rsid w:val="00034278"/>
    <w:rsid w:val="00171368"/>
    <w:rsid w:val="00176F71"/>
    <w:rsid w:val="00186512"/>
    <w:rsid w:val="001F7024"/>
    <w:rsid w:val="002004B1"/>
    <w:rsid w:val="00290B3E"/>
    <w:rsid w:val="003327A1"/>
    <w:rsid w:val="003906A7"/>
    <w:rsid w:val="003E5B6E"/>
    <w:rsid w:val="003F7AE3"/>
    <w:rsid w:val="00436ECF"/>
    <w:rsid w:val="00471E06"/>
    <w:rsid w:val="00487CC4"/>
    <w:rsid w:val="004921FD"/>
    <w:rsid w:val="004A0394"/>
    <w:rsid w:val="004B3730"/>
    <w:rsid w:val="004F4D2F"/>
    <w:rsid w:val="0051699C"/>
    <w:rsid w:val="00520923"/>
    <w:rsid w:val="0057701F"/>
    <w:rsid w:val="005D4E8D"/>
    <w:rsid w:val="00612A96"/>
    <w:rsid w:val="006279A4"/>
    <w:rsid w:val="0067160D"/>
    <w:rsid w:val="006A4432"/>
    <w:rsid w:val="00736A58"/>
    <w:rsid w:val="00764F0C"/>
    <w:rsid w:val="00871DFC"/>
    <w:rsid w:val="00892C04"/>
    <w:rsid w:val="00894394"/>
    <w:rsid w:val="008C0527"/>
    <w:rsid w:val="008F75E2"/>
    <w:rsid w:val="00944754"/>
    <w:rsid w:val="00967174"/>
    <w:rsid w:val="009B6EA4"/>
    <w:rsid w:val="009C584A"/>
    <w:rsid w:val="00A1323C"/>
    <w:rsid w:val="00A350A5"/>
    <w:rsid w:val="00AF0780"/>
    <w:rsid w:val="00AF25EF"/>
    <w:rsid w:val="00B51148"/>
    <w:rsid w:val="00B54318"/>
    <w:rsid w:val="00B86464"/>
    <w:rsid w:val="00BB5032"/>
    <w:rsid w:val="00BB7115"/>
    <w:rsid w:val="00BF303E"/>
    <w:rsid w:val="00D91B37"/>
    <w:rsid w:val="00DB114B"/>
    <w:rsid w:val="00E5159D"/>
    <w:rsid w:val="00E93599"/>
    <w:rsid w:val="00EA4AD5"/>
    <w:rsid w:val="00F07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D3A22"/>
  <w15:docId w15:val="{349CD46B-3749-48BC-A8E5-F73F1C78E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2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38C"/>
  </w:style>
  <w:style w:type="paragraph" w:styleId="Footer">
    <w:name w:val="footer"/>
    <w:basedOn w:val="Normal"/>
    <w:link w:val="FooterChar"/>
    <w:uiPriority w:val="99"/>
    <w:unhideWhenUsed/>
    <w:rsid w:val="00032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38C"/>
  </w:style>
  <w:style w:type="paragraph" w:styleId="BalloonText">
    <w:name w:val="Balloon Text"/>
    <w:basedOn w:val="Normal"/>
    <w:link w:val="BalloonTextChar"/>
    <w:uiPriority w:val="99"/>
    <w:semiHidden/>
    <w:unhideWhenUsed/>
    <w:rsid w:val="00032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38C"/>
    <w:rPr>
      <w:rFonts w:ascii="Tahoma" w:hAnsi="Tahoma" w:cs="Tahoma"/>
      <w:sz w:val="16"/>
      <w:szCs w:val="16"/>
    </w:rPr>
  </w:style>
  <w:style w:type="character" w:styleId="Hyperlink">
    <w:name w:val="Hyperlink"/>
    <w:basedOn w:val="DefaultParagraphFont"/>
    <w:uiPriority w:val="99"/>
    <w:unhideWhenUsed/>
    <w:rsid w:val="00BB5032"/>
    <w:rPr>
      <w:color w:val="0000FF" w:themeColor="hyperlink"/>
      <w:u w:val="single"/>
    </w:rPr>
  </w:style>
  <w:style w:type="paragraph" w:customStyle="1" w:styleId="BasicParagraph">
    <w:name w:val="[Basic Paragraph]"/>
    <w:basedOn w:val="Normal"/>
    <w:uiPriority w:val="99"/>
    <w:rsid w:val="00034278"/>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Spacing">
    <w:name w:val="No Spacing"/>
    <w:uiPriority w:val="1"/>
    <w:qFormat/>
    <w:rsid w:val="00612A96"/>
    <w:pPr>
      <w:spacing w:after="0" w:line="240" w:lineRule="auto"/>
    </w:pPr>
  </w:style>
  <w:style w:type="character" w:customStyle="1" w:styleId="12ptCopy">
    <w:name w:val="12pt Copy"/>
    <w:uiPriority w:val="99"/>
    <w:rsid w:val="00171368"/>
    <w:rPr>
      <w:rFonts w:ascii="HelveticaNeue-Medium" w:hAnsi="HelveticaNeue-Medium" w:cs="HelveticaNeue-Medium"/>
    </w:rPr>
  </w:style>
  <w:style w:type="paragraph" w:styleId="ListParagraph">
    <w:name w:val="List Paragraph"/>
    <w:basedOn w:val="Normal"/>
    <w:uiPriority w:val="34"/>
    <w:qFormat/>
    <w:rsid w:val="00171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hcin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91BFD-71A7-4A51-A112-F501DB68F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English</dc:creator>
  <cp:lastModifiedBy>Deaton, Teresa</cp:lastModifiedBy>
  <cp:revision>1</cp:revision>
  <cp:lastPrinted>2017-02-22T16:21:00Z</cp:lastPrinted>
  <dcterms:created xsi:type="dcterms:W3CDTF">2023-09-14T18:09:00Z</dcterms:created>
  <dcterms:modified xsi:type="dcterms:W3CDTF">2023-09-14T18:09:00Z</dcterms:modified>
</cp:coreProperties>
</file>